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7"/>
        <w:gridCol w:w="6523"/>
      </w:tblGrid>
      <w:tr w:rsidR="00B1766A" w:rsidRPr="00422B02" w14:paraId="3C037F21" w14:textId="77777777" w:rsidTr="00B05661">
        <w:tc>
          <w:tcPr>
            <w:tcW w:w="1225" w:type="pct"/>
            <w:shd w:val="pct10" w:color="auto" w:fill="auto"/>
          </w:tcPr>
          <w:p w14:paraId="3C037F1F" w14:textId="77777777" w:rsidR="00B1766A" w:rsidRDefault="001F47C8">
            <w:r>
              <w:rPr>
                <w:b/>
              </w:rPr>
              <w:t>Questionnaire Title</w:t>
            </w:r>
          </w:p>
        </w:tc>
        <w:tc>
          <w:tcPr>
            <w:tcW w:w="3775" w:type="pct"/>
            <w:shd w:val="pct10" w:color="auto" w:fill="auto"/>
          </w:tcPr>
          <w:p w14:paraId="3C037F20" w14:textId="77777777" w:rsidR="00B1766A" w:rsidRPr="00355E01" w:rsidRDefault="001F47C8">
            <w:pPr>
              <w:rPr>
                <w:b/>
                <w:bCs/>
                <w:lang w:val="en-US"/>
              </w:rPr>
            </w:pPr>
            <w:r w:rsidRPr="00355E01">
              <w:rPr>
                <w:b/>
                <w:bCs/>
                <w:lang w:val="en-US"/>
              </w:rPr>
              <w:t>Core Questions (Core IRRS modules)</w:t>
            </w:r>
          </w:p>
        </w:tc>
      </w:tr>
      <w:tr w:rsidR="00B1766A" w14:paraId="3C037F2D" w14:textId="77777777" w:rsidTr="00B05661">
        <w:tc>
          <w:tcPr>
            <w:tcW w:w="1225" w:type="pct"/>
            <w:shd w:val="pct10" w:color="auto" w:fill="auto"/>
          </w:tcPr>
          <w:p w14:paraId="3C037F2B" w14:textId="77777777" w:rsidR="00B1766A" w:rsidRDefault="001F47C8">
            <w:r>
              <w:rPr>
                <w:b/>
              </w:rPr>
              <w:t>Module Name</w:t>
            </w:r>
          </w:p>
        </w:tc>
        <w:tc>
          <w:tcPr>
            <w:tcW w:w="3775" w:type="pct"/>
          </w:tcPr>
          <w:p w14:paraId="3C037F2C" w14:textId="77777777" w:rsidR="00B1766A" w:rsidRPr="00355E01" w:rsidRDefault="001F47C8">
            <w:pPr>
              <w:rPr>
                <w:b/>
                <w:bCs/>
              </w:rPr>
            </w:pPr>
            <w:r w:rsidRPr="00355E01">
              <w:rPr>
                <w:b/>
                <w:bCs/>
              </w:rPr>
              <w:t>08. Enforcement</w:t>
            </w:r>
          </w:p>
        </w:tc>
      </w:tr>
    </w:tbl>
    <w:p w14:paraId="3C037F3D" w14:textId="59A5089D" w:rsidR="00B1766A" w:rsidRDefault="00B1766A"/>
    <w:tbl>
      <w:tblPr>
        <w:tblW w:w="5000" w:type="pct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4"/>
        <w:gridCol w:w="4952"/>
        <w:gridCol w:w="520"/>
        <w:gridCol w:w="1054"/>
      </w:tblGrid>
      <w:tr w:rsidR="00B1766A" w14:paraId="3C037F42" w14:textId="77777777" w:rsidTr="009C7989">
        <w:tc>
          <w:tcPr>
            <w:tcW w:w="1223" w:type="pct"/>
            <w:shd w:val="pct10" w:color="auto" w:fill="auto"/>
          </w:tcPr>
          <w:p w14:paraId="3C037F3E" w14:textId="77777777" w:rsidR="00B1766A" w:rsidRDefault="001F47C8">
            <w:pPr>
              <w:pStyle w:val="PrimaryQuestionTableHeader"/>
            </w:pPr>
            <w:r>
              <w:t>QTYPE</w:t>
            </w:r>
          </w:p>
        </w:tc>
        <w:tc>
          <w:tcPr>
            <w:tcW w:w="2866" w:type="pct"/>
            <w:shd w:val="pct10" w:color="auto" w:fill="auto"/>
          </w:tcPr>
          <w:p w14:paraId="3C037F3F" w14:textId="295F4C22" w:rsidR="00B1766A" w:rsidRPr="00422B02" w:rsidRDefault="00422B02" w:rsidP="009C7989">
            <w:pPr>
              <w:pStyle w:val="PrimaryQuestionTableHeader"/>
              <w:ind w:left="720"/>
              <w:jc w:val="left"/>
              <w:rPr>
                <w:lang w:val="en-US"/>
              </w:rPr>
            </w:pPr>
            <w:r>
              <w:t>Primary Question</w:t>
            </w:r>
          </w:p>
        </w:tc>
        <w:tc>
          <w:tcPr>
            <w:tcW w:w="301" w:type="pct"/>
            <w:shd w:val="pct10" w:color="auto" w:fill="auto"/>
          </w:tcPr>
          <w:p w14:paraId="3C037F40" w14:textId="77777777" w:rsidR="00B1766A" w:rsidRDefault="001F47C8">
            <w:pPr>
              <w:pStyle w:val="PrimaryQuestionTableHeader"/>
            </w:pPr>
            <w:r>
              <w:t>SA</w:t>
            </w:r>
          </w:p>
        </w:tc>
        <w:tc>
          <w:tcPr>
            <w:tcW w:w="610" w:type="pct"/>
            <w:shd w:val="pct10" w:color="auto" w:fill="auto"/>
          </w:tcPr>
          <w:p w14:paraId="3C037F41" w14:textId="77777777" w:rsidR="00B1766A" w:rsidRDefault="001F47C8">
            <w:pPr>
              <w:pStyle w:val="PrimaryQuestionTableHeader"/>
            </w:pPr>
            <w:r>
              <w:t>IL</w:t>
            </w:r>
          </w:p>
        </w:tc>
      </w:tr>
      <w:tr w:rsidR="00B1766A" w14:paraId="3C037F47" w14:textId="77777777" w:rsidTr="009C7989">
        <w:tc>
          <w:tcPr>
            <w:tcW w:w="1223" w:type="pct"/>
            <w:shd w:val="pct10" w:color="auto" w:fill="auto"/>
          </w:tcPr>
          <w:p w14:paraId="3C037F43" w14:textId="77777777" w:rsidR="00B1766A" w:rsidRDefault="001F47C8">
            <w:pPr>
              <w:jc w:val="center"/>
            </w:pPr>
            <w:r>
              <w:t>Boolean</w:t>
            </w:r>
          </w:p>
        </w:tc>
        <w:tc>
          <w:tcPr>
            <w:tcW w:w="2866" w:type="pct"/>
          </w:tcPr>
          <w:p w14:paraId="3C037F44" w14:textId="4308EC74" w:rsidR="00B1766A" w:rsidRPr="00B046ED" w:rsidRDefault="00F96114" w:rsidP="00F96114">
            <w:pPr>
              <w:rPr>
                <w:lang w:val="en-US"/>
              </w:rPr>
            </w:pPr>
            <w:r>
              <w:rPr>
                <w:rStyle w:val="Question"/>
                <w:lang w:val="en-US"/>
              </w:rPr>
              <w:t xml:space="preserve">Describe the </w:t>
            </w:r>
            <w:r w:rsidR="001F47C8" w:rsidRPr="00B046ED">
              <w:rPr>
                <w:rStyle w:val="Question"/>
                <w:lang w:val="en-US"/>
              </w:rPr>
              <w:t xml:space="preserve">enforcement policy </w:t>
            </w:r>
            <w:r w:rsidR="006D4C98">
              <w:rPr>
                <w:rStyle w:val="Question"/>
                <w:lang w:val="en-US"/>
              </w:rPr>
              <w:t xml:space="preserve">established </w:t>
            </w:r>
            <w:r w:rsidR="00344D24">
              <w:rPr>
                <w:rStyle w:val="Question"/>
                <w:lang w:val="en-US"/>
              </w:rPr>
              <w:t>by the regulatory body</w:t>
            </w:r>
            <w:r w:rsidR="00344D24" w:rsidRPr="00B046ED">
              <w:rPr>
                <w:rStyle w:val="Question"/>
                <w:lang w:val="en-US"/>
              </w:rPr>
              <w:t xml:space="preserve"> </w:t>
            </w:r>
            <w:r w:rsidR="001F47C8" w:rsidRPr="00B046ED">
              <w:rPr>
                <w:rStyle w:val="Question"/>
                <w:lang w:val="en-US"/>
              </w:rPr>
              <w:t xml:space="preserve">within the legal framework </w:t>
            </w:r>
            <w:r w:rsidR="006D4C98">
              <w:rPr>
                <w:rStyle w:val="Question"/>
                <w:lang w:val="en-US"/>
              </w:rPr>
              <w:t xml:space="preserve">to </w:t>
            </w:r>
            <w:r w:rsidR="001F47C8" w:rsidRPr="00B046ED">
              <w:rPr>
                <w:rStyle w:val="Question"/>
                <w:lang w:val="en-US"/>
              </w:rPr>
              <w:t>respond to non-compliance with regulatory requirements or with any conditions specified in the authorization</w:t>
            </w:r>
            <w:r>
              <w:rPr>
                <w:rStyle w:val="Question"/>
                <w:lang w:val="en-US"/>
              </w:rPr>
              <w:t>.</w:t>
            </w:r>
            <w:r w:rsidR="00E96AF9">
              <w:rPr>
                <w:rStyle w:val="Question"/>
                <w:lang w:val="en-US"/>
              </w:rPr>
              <w:t xml:space="preserve"> </w:t>
            </w:r>
            <w:r w:rsidR="00E96AF9">
              <w:rPr>
                <w:rStyle w:val="Question"/>
                <w:lang w:val="en-US"/>
              </w:rPr>
              <w:t xml:space="preserve">[Topic </w:t>
            </w:r>
            <w:r w:rsidR="00E96AF9">
              <w:rPr>
                <w:rStyle w:val="Question"/>
                <w:lang w:val="en-US"/>
              </w:rPr>
              <w:t>8</w:t>
            </w:r>
            <w:r w:rsidR="00E96AF9">
              <w:rPr>
                <w:rStyle w:val="Question"/>
                <w:lang w:val="en-US"/>
              </w:rPr>
              <w:t>.1]</w:t>
            </w:r>
          </w:p>
        </w:tc>
        <w:tc>
          <w:tcPr>
            <w:tcW w:w="301" w:type="pct"/>
          </w:tcPr>
          <w:p w14:paraId="3C037F45" w14:textId="77777777" w:rsidR="00B1766A" w:rsidRDefault="001F47C8">
            <w:pPr>
              <w:jc w:val="center"/>
            </w:pPr>
            <w:r>
              <w:t>A</w:t>
            </w:r>
          </w:p>
        </w:tc>
        <w:tc>
          <w:tcPr>
            <w:tcW w:w="610" w:type="pct"/>
          </w:tcPr>
          <w:p w14:paraId="3C037F46" w14:textId="77777777" w:rsidR="00B1766A" w:rsidRDefault="001F47C8">
            <w:pPr>
              <w:jc w:val="center"/>
            </w:pPr>
            <w:r>
              <w:t>F</w:t>
            </w:r>
          </w:p>
        </w:tc>
      </w:tr>
      <w:tr w:rsidR="00B1766A" w:rsidRPr="00422B02" w14:paraId="3C037F57" w14:textId="77777777" w:rsidTr="009C7989">
        <w:tc>
          <w:tcPr>
            <w:tcW w:w="1223" w:type="pct"/>
            <w:shd w:val="pct10" w:color="auto" w:fill="auto"/>
          </w:tcPr>
          <w:p w14:paraId="3C037F4E" w14:textId="77777777" w:rsidR="00B1766A" w:rsidRDefault="001F47C8">
            <w:r>
              <w:rPr>
                <w:b/>
              </w:rPr>
              <w:t>Expectation</w:t>
            </w:r>
          </w:p>
        </w:tc>
        <w:tc>
          <w:tcPr>
            <w:tcW w:w="3777" w:type="pct"/>
            <w:gridSpan w:val="3"/>
          </w:tcPr>
          <w:p w14:paraId="3C037F4F" w14:textId="38450E63" w:rsidR="001C36CC" w:rsidRDefault="001F47C8" w:rsidP="00145F2F">
            <w:pPr>
              <w:jc w:val="both"/>
              <w:rPr>
                <w:lang w:val="en-US"/>
              </w:rPr>
            </w:pPr>
            <w:r w:rsidRPr="00B046ED">
              <w:rPr>
                <w:lang w:val="en-US"/>
              </w:rPr>
              <w:t xml:space="preserve">The regulatory body has established an enforcement policy that </w:t>
            </w:r>
            <w:r w:rsidR="00CF7853">
              <w:rPr>
                <w:lang w:val="en-US"/>
              </w:rPr>
              <w:t xml:space="preserve">establishes a basis for </w:t>
            </w:r>
            <w:r w:rsidRPr="00B046ED">
              <w:rPr>
                <w:lang w:val="en-US"/>
              </w:rPr>
              <w:t>respon</w:t>
            </w:r>
            <w:r w:rsidR="000E46CE">
              <w:rPr>
                <w:lang w:val="en-US"/>
              </w:rPr>
              <w:t>se</w:t>
            </w:r>
            <w:r w:rsidRPr="00B046ED">
              <w:rPr>
                <w:lang w:val="en-US"/>
              </w:rPr>
              <w:t xml:space="preserve">s to non-compliance with regulatory requirements in accordance with a graded approach </w:t>
            </w:r>
            <w:r w:rsidR="006D4C98">
              <w:rPr>
                <w:lang w:val="en-US"/>
              </w:rPr>
              <w:t xml:space="preserve">and </w:t>
            </w:r>
            <w:r w:rsidR="006D4C98" w:rsidRPr="00F96114">
              <w:rPr>
                <w:lang w:val="en-US"/>
              </w:rPr>
              <w:t>taking into</w:t>
            </w:r>
            <w:r w:rsidRPr="00F96114">
              <w:rPr>
                <w:lang w:val="en-US"/>
              </w:rPr>
              <w:t xml:space="preserve"> </w:t>
            </w:r>
            <w:r w:rsidR="006D4C98" w:rsidRPr="00145F2F">
              <w:rPr>
                <w:lang w:val="en-GB"/>
              </w:rPr>
              <w:t>consideration the safety culture aspects and licensee’s responsibility for safety</w:t>
            </w:r>
            <w:r w:rsidR="006D4C98">
              <w:rPr>
                <w:lang w:val="en-US"/>
              </w:rPr>
              <w:t>.</w:t>
            </w:r>
            <w:r w:rsidR="001C36CC" w:rsidRPr="00145F2F">
              <w:rPr>
                <w:lang w:val="en-US"/>
              </w:rPr>
              <w:t xml:space="preserve"> </w:t>
            </w:r>
          </w:p>
          <w:p w14:paraId="4C45C8BA" w14:textId="7ECF8E10" w:rsidR="004D0CEE" w:rsidRDefault="004D0CEE" w:rsidP="00145F2F">
            <w:pPr>
              <w:jc w:val="both"/>
              <w:rPr>
                <w:lang w:val="en-US"/>
              </w:rPr>
            </w:pPr>
          </w:p>
          <w:p w14:paraId="3C037F50" w14:textId="2038007A" w:rsidR="00335C22" w:rsidRDefault="004D0CEE" w:rsidP="004D0CE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The enforcement policy covers all enforcement actions by the regulatory body to response to non-compliance in accordance with a graded approach.</w:t>
            </w:r>
          </w:p>
          <w:p w14:paraId="2312135B" w14:textId="77777777" w:rsidR="004D0CEE" w:rsidRDefault="004D0CEE" w:rsidP="00145F2F">
            <w:pPr>
              <w:jc w:val="both"/>
              <w:rPr>
                <w:lang w:val="en-US"/>
              </w:rPr>
            </w:pPr>
          </w:p>
          <w:p w14:paraId="3C037F52" w14:textId="63F67B57" w:rsidR="003E4242" w:rsidRPr="003E4242" w:rsidRDefault="003E4242" w:rsidP="00145F2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45F2F">
              <w:rPr>
                <w:lang w:val="en-US"/>
              </w:rPr>
              <w:t xml:space="preserve">he regulatory body </w:t>
            </w:r>
            <w:r>
              <w:rPr>
                <w:lang w:val="en-US"/>
              </w:rPr>
              <w:t>identifies</w:t>
            </w:r>
            <w:r w:rsidRPr="00145F2F">
              <w:rPr>
                <w:lang w:val="en-US"/>
              </w:rPr>
              <w:t xml:space="preserve"> and document</w:t>
            </w:r>
            <w:r>
              <w:rPr>
                <w:lang w:val="en-US"/>
              </w:rPr>
              <w:t>s</w:t>
            </w:r>
            <w:r w:rsidRPr="00145F2F">
              <w:rPr>
                <w:lang w:val="en-US"/>
              </w:rPr>
              <w:t xml:space="preserve"> the nature of non-compliances and the period of time allowed for correcting </w:t>
            </w:r>
            <w:r w:rsidR="004D0CEE" w:rsidRPr="00145F2F">
              <w:rPr>
                <w:lang w:val="en-US"/>
              </w:rPr>
              <w:t>them and</w:t>
            </w:r>
            <w:r w:rsidRPr="00145F2F">
              <w:rPr>
                <w:lang w:val="en-US"/>
              </w:rPr>
              <w:t xml:space="preserve"> communicate</w:t>
            </w:r>
            <w:r w:rsidR="006D31D5">
              <w:rPr>
                <w:lang w:val="en-US"/>
              </w:rPr>
              <w:t>s</w:t>
            </w:r>
            <w:r w:rsidRPr="00145F2F">
              <w:rPr>
                <w:lang w:val="en-US"/>
              </w:rPr>
              <w:t xml:space="preserve"> this information in writing to the authorized party.</w:t>
            </w:r>
            <w:r>
              <w:rPr>
                <w:lang w:val="en-US"/>
              </w:rPr>
              <w:t xml:space="preserve"> The regulatory body </w:t>
            </w:r>
            <w:r w:rsidRPr="00145F2F">
              <w:rPr>
                <w:lang w:val="en-US"/>
              </w:rPr>
              <w:t>require</w:t>
            </w:r>
            <w:r>
              <w:rPr>
                <w:lang w:val="en-US"/>
              </w:rPr>
              <w:t>s</w:t>
            </w:r>
            <w:r w:rsidRPr="00145F2F">
              <w:rPr>
                <w:lang w:val="en-US"/>
              </w:rPr>
              <w:t xml:space="preserve"> the authorized party to take appropriate corrective actions to reduce the risks.</w:t>
            </w:r>
          </w:p>
          <w:p w14:paraId="070E1FC3" w14:textId="77777777" w:rsidR="004D0CEE" w:rsidRDefault="004D0CEE" w:rsidP="00145F2F">
            <w:pPr>
              <w:jc w:val="both"/>
              <w:rPr>
                <w:lang w:val="en-GB"/>
              </w:rPr>
            </w:pPr>
          </w:p>
          <w:p w14:paraId="3C037F53" w14:textId="072AC698" w:rsidR="006D31D5" w:rsidRDefault="006D4C98" w:rsidP="00145F2F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Within the enforcement process the</w:t>
            </w:r>
            <w:r w:rsidR="00F96114">
              <w:rPr>
                <w:lang w:val="en-GB"/>
              </w:rPr>
              <w:t>re are provision</w:t>
            </w:r>
            <w:r w:rsidR="00335C22">
              <w:rPr>
                <w:lang w:val="en-GB"/>
              </w:rPr>
              <w:t>s</w:t>
            </w:r>
            <w:r w:rsidR="00F96114">
              <w:rPr>
                <w:lang w:val="en-GB"/>
              </w:rPr>
              <w:t xml:space="preserve"> which give </w:t>
            </w:r>
            <w:r>
              <w:rPr>
                <w:lang w:val="en-GB"/>
              </w:rPr>
              <w:t>the p</w:t>
            </w:r>
            <w:r w:rsidRPr="006D4C98">
              <w:rPr>
                <w:lang w:val="en-GB"/>
              </w:rPr>
              <w:t>ossibility for the licensee to appeal</w:t>
            </w:r>
            <w:r>
              <w:rPr>
                <w:lang w:val="en-GB"/>
              </w:rPr>
              <w:t>.</w:t>
            </w:r>
          </w:p>
          <w:p w14:paraId="05076142" w14:textId="77777777" w:rsidR="004D0CEE" w:rsidRDefault="004D0CEE" w:rsidP="00145F2F">
            <w:pPr>
              <w:jc w:val="both"/>
              <w:rPr>
                <w:lang w:val="en-GB"/>
              </w:rPr>
            </w:pPr>
          </w:p>
          <w:p w14:paraId="3C037F54" w14:textId="7CF97AB3" w:rsidR="006D4C98" w:rsidRDefault="004D0CEE" w:rsidP="00145F2F">
            <w:pPr>
              <w:jc w:val="both"/>
              <w:rPr>
                <w:lang w:val="en-US"/>
              </w:rPr>
            </w:pPr>
            <w:r>
              <w:rPr>
                <w:lang w:val="en-GB"/>
              </w:rPr>
              <w:t>T</w:t>
            </w:r>
            <w:r w:rsidR="003E4242" w:rsidRPr="0089346B">
              <w:rPr>
                <w:lang w:val="en-US"/>
              </w:rPr>
              <w:t>he regulatory body confirm</w:t>
            </w:r>
            <w:r>
              <w:rPr>
                <w:lang w:val="en-US"/>
              </w:rPr>
              <w:t>s</w:t>
            </w:r>
            <w:r w:rsidR="003E4242" w:rsidRPr="0089346B">
              <w:rPr>
                <w:lang w:val="en-US"/>
              </w:rPr>
              <w:t xml:space="preserve"> the authorized party effectively implement</w:t>
            </w:r>
            <w:r w:rsidR="000B2EF5">
              <w:rPr>
                <w:lang w:val="en-US"/>
              </w:rPr>
              <w:t>s</w:t>
            </w:r>
            <w:r w:rsidR="003E4242" w:rsidRPr="006B7D90">
              <w:rPr>
                <w:lang w:val="en-US"/>
              </w:rPr>
              <w:t xml:space="preserve"> any necessary corrective actions</w:t>
            </w:r>
            <w:r w:rsidR="000B2EF5">
              <w:rPr>
                <w:lang w:val="en-US"/>
              </w:rPr>
              <w:t xml:space="preserve"> in a timely manner</w:t>
            </w:r>
            <w:r w:rsidR="003E4242" w:rsidRPr="006B7D90">
              <w:rPr>
                <w:lang w:val="en-US"/>
              </w:rPr>
              <w:t>.</w:t>
            </w:r>
          </w:p>
          <w:p w14:paraId="3C037F55" w14:textId="77777777" w:rsidR="003E4242" w:rsidRPr="006B7D90" w:rsidRDefault="003E4242">
            <w:pPr>
              <w:rPr>
                <w:lang w:val="en-US"/>
              </w:rPr>
            </w:pPr>
          </w:p>
          <w:p w14:paraId="3C037F56" w14:textId="09E52B01" w:rsidR="00335C22" w:rsidRPr="006B7D90" w:rsidRDefault="00335C22" w:rsidP="006B7D9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Answer should include </w:t>
            </w:r>
            <w:r w:rsidR="007F78E2">
              <w:rPr>
                <w:lang w:val="en-GB"/>
              </w:rPr>
              <w:t xml:space="preserve">description of </w:t>
            </w:r>
            <w:r>
              <w:rPr>
                <w:lang w:val="en-GB"/>
              </w:rPr>
              <w:t>any safety measures planned to improve compliance with IAEA safety requirements relevant to this area.</w:t>
            </w:r>
          </w:p>
        </w:tc>
      </w:tr>
      <w:tr w:rsidR="00B1766A" w:rsidRPr="00422B02" w14:paraId="3C037F5F" w14:textId="77777777" w:rsidTr="009C7989">
        <w:tc>
          <w:tcPr>
            <w:tcW w:w="1223" w:type="pct"/>
            <w:shd w:val="pct10" w:color="auto" w:fill="auto"/>
          </w:tcPr>
          <w:p w14:paraId="3C037F58" w14:textId="77777777" w:rsidR="00B1766A" w:rsidRDefault="001F47C8">
            <w:r>
              <w:rPr>
                <w:b/>
              </w:rPr>
              <w:t>Help</w:t>
            </w:r>
          </w:p>
        </w:tc>
        <w:tc>
          <w:tcPr>
            <w:tcW w:w="3777" w:type="pct"/>
            <w:gridSpan w:val="3"/>
          </w:tcPr>
          <w:p w14:paraId="4B7BDA46" w14:textId="77777777" w:rsidR="009C7989" w:rsidRDefault="004D0CEE">
            <w:pPr>
              <w:rPr>
                <w:lang w:val="en-US"/>
              </w:rPr>
            </w:pPr>
            <w:r w:rsidRPr="004D0CEE">
              <w:rPr>
                <w:lang w:val="en-US"/>
              </w:rPr>
              <w:t>Enforcement actions by the regulatory body may include recorded verbal notification, written notification, imposition of additional regulatory requirements and conditions, written warnings, penalties and, ultimately, revocation of the authorization.</w:t>
            </w:r>
          </w:p>
          <w:p w14:paraId="423EDE2A" w14:textId="77777777" w:rsidR="009C7989" w:rsidRDefault="009C7989">
            <w:pPr>
              <w:rPr>
                <w:lang w:val="en-US"/>
              </w:rPr>
            </w:pPr>
          </w:p>
          <w:p w14:paraId="606E30C7" w14:textId="69717FC0" w:rsidR="004D0CEE" w:rsidRDefault="004D0CEE">
            <w:pPr>
              <w:rPr>
                <w:lang w:val="en-US"/>
              </w:rPr>
            </w:pPr>
            <w:r w:rsidRPr="004D0CEE">
              <w:rPr>
                <w:lang w:val="en-US"/>
              </w:rPr>
              <w:t>Regulatory enforcement may also entail prosecution, especially in cases where the authorized party does not cooperate satisfactorily in the remediation or resolution of the non-compliance</w:t>
            </w:r>
            <w:r>
              <w:rPr>
                <w:lang w:val="en-US"/>
              </w:rPr>
              <w:t>.</w:t>
            </w:r>
          </w:p>
          <w:p w14:paraId="31A33848" w14:textId="77777777" w:rsidR="004D0CEE" w:rsidRDefault="004D0CEE">
            <w:pPr>
              <w:rPr>
                <w:lang w:val="en-US"/>
              </w:rPr>
            </w:pPr>
          </w:p>
          <w:p w14:paraId="3C037F59" w14:textId="59E136A6" w:rsidR="00B1766A" w:rsidRDefault="00335C22">
            <w:pPr>
              <w:rPr>
                <w:lang w:val="en-US"/>
              </w:rPr>
            </w:pPr>
            <w:r>
              <w:rPr>
                <w:lang w:val="en-US"/>
              </w:rPr>
              <w:t>An e</w:t>
            </w:r>
            <w:r w:rsidR="001C36CC">
              <w:rPr>
                <w:lang w:val="en-US"/>
              </w:rPr>
              <w:t xml:space="preserve">nforcement policy </w:t>
            </w:r>
            <w:r w:rsidR="004D0CEE">
              <w:rPr>
                <w:lang w:val="en-US"/>
              </w:rPr>
              <w:t xml:space="preserve">may </w:t>
            </w:r>
            <w:r w:rsidR="001C36CC">
              <w:rPr>
                <w:lang w:val="en-US"/>
              </w:rPr>
              <w:t>include</w:t>
            </w:r>
            <w:r w:rsidR="004D0CEE">
              <w:rPr>
                <w:lang w:val="en-US"/>
              </w:rPr>
              <w:t>:</w:t>
            </w:r>
          </w:p>
          <w:p w14:paraId="3C037F5A" w14:textId="66A59BE0" w:rsidR="001C36CC" w:rsidRPr="004D0CEE" w:rsidRDefault="004D0CEE" w:rsidP="004D0CEE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1C36CC" w:rsidRPr="00422B02">
              <w:rPr>
                <w:lang w:val="en-GB"/>
              </w:rPr>
              <w:t>Objectives of enforcement</w:t>
            </w:r>
            <w:r>
              <w:rPr>
                <w:lang w:val="en-US"/>
              </w:rPr>
              <w:t>;</w:t>
            </w:r>
          </w:p>
          <w:p w14:paraId="3C037F5C" w14:textId="0372DC3B" w:rsidR="001C36CC" w:rsidRPr="004D0CEE" w:rsidRDefault="004D0CEE" w:rsidP="004D0CEE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1C36CC" w:rsidRPr="00422B02">
              <w:rPr>
                <w:lang w:val="en-GB"/>
              </w:rPr>
              <w:t>Methods of enforcement</w:t>
            </w:r>
            <w:r w:rsidR="00B05661">
              <w:rPr>
                <w:lang w:val="en-US"/>
              </w:rPr>
              <w:t xml:space="preserve"> and f</w:t>
            </w:r>
            <w:r w:rsidR="001C36CC" w:rsidRPr="004D0CEE">
              <w:rPr>
                <w:lang w:val="en-US"/>
              </w:rPr>
              <w:t>actors in determining enforcement actions</w:t>
            </w:r>
            <w:r w:rsidR="009C7989">
              <w:rPr>
                <w:lang w:val="en-US"/>
              </w:rPr>
              <w:t xml:space="preserve"> in accordance with a graded approach</w:t>
            </w:r>
            <w:r>
              <w:rPr>
                <w:lang w:val="en-US"/>
              </w:rPr>
              <w:t>;</w:t>
            </w:r>
          </w:p>
          <w:p w14:paraId="797849A7" w14:textId="189F6713" w:rsidR="00DD2A20" w:rsidRPr="004D0CEE" w:rsidRDefault="004D0CEE" w:rsidP="004D0CEE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1C36CC" w:rsidRPr="004D0CEE">
              <w:rPr>
                <w:lang w:val="en-US"/>
              </w:rPr>
              <w:t xml:space="preserve">The implementation </w:t>
            </w:r>
            <w:r w:rsidR="009C7989">
              <w:rPr>
                <w:lang w:val="en-US"/>
              </w:rPr>
              <w:t xml:space="preserve">process and </w:t>
            </w:r>
            <w:r w:rsidR="001C36CC" w:rsidRPr="004D0CEE">
              <w:rPr>
                <w:lang w:val="en-US"/>
              </w:rPr>
              <w:t>procedure</w:t>
            </w:r>
            <w:r w:rsidR="009C7989">
              <w:rPr>
                <w:lang w:val="en-US"/>
              </w:rPr>
              <w:t>s</w:t>
            </w:r>
            <w:r>
              <w:rPr>
                <w:lang w:val="en-US"/>
              </w:rPr>
              <w:t>;</w:t>
            </w:r>
          </w:p>
          <w:p w14:paraId="3C037F5E" w14:textId="3D7D8D99" w:rsidR="001C36CC" w:rsidRPr="004D0CEE" w:rsidRDefault="004D0CEE" w:rsidP="004D0CEE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1C36CC" w:rsidRPr="004D0CEE">
              <w:rPr>
                <w:lang w:val="en-US"/>
              </w:rPr>
              <w:t>Records of enforcement</w:t>
            </w:r>
            <w:r>
              <w:rPr>
                <w:lang w:val="en-US"/>
              </w:rPr>
              <w:t>.</w:t>
            </w:r>
          </w:p>
        </w:tc>
      </w:tr>
      <w:tr w:rsidR="00B1766A" w:rsidRPr="00422B02" w14:paraId="3C037F61" w14:textId="77777777">
        <w:tc>
          <w:tcPr>
            <w:tcW w:w="5000" w:type="pct"/>
            <w:gridSpan w:val="4"/>
            <w:shd w:val="pct10" w:color="auto" w:fill="auto"/>
          </w:tcPr>
          <w:p w14:paraId="3C037F60" w14:textId="77777777" w:rsidR="00B1766A" w:rsidRPr="00B046ED" w:rsidRDefault="001F47C8">
            <w:pPr>
              <w:pStyle w:val="PrimaryQuestionTableHeader"/>
              <w:rPr>
                <w:lang w:val="en-US"/>
              </w:rPr>
            </w:pPr>
            <w:r w:rsidRPr="00B046ED">
              <w:rPr>
                <w:lang w:val="en-US"/>
              </w:rPr>
              <w:t>Question Tags (one row per Tag)</w:t>
            </w:r>
          </w:p>
        </w:tc>
      </w:tr>
      <w:tr w:rsidR="00B1766A" w14:paraId="3C037F64" w14:textId="77777777" w:rsidTr="009C7989">
        <w:tc>
          <w:tcPr>
            <w:tcW w:w="1223" w:type="pct"/>
            <w:shd w:val="pct10" w:color="auto" w:fill="auto"/>
          </w:tcPr>
          <w:p w14:paraId="3C037F62" w14:textId="77777777" w:rsidR="00B1766A" w:rsidRDefault="001F47C8">
            <w:pPr>
              <w:pStyle w:val="PrimaryQuestionTableHeader"/>
            </w:pPr>
            <w:r>
              <w:t>Category</w:t>
            </w:r>
          </w:p>
        </w:tc>
        <w:tc>
          <w:tcPr>
            <w:tcW w:w="3777" w:type="pct"/>
            <w:gridSpan w:val="3"/>
            <w:shd w:val="pct10" w:color="auto" w:fill="auto"/>
          </w:tcPr>
          <w:p w14:paraId="3C037F63" w14:textId="77777777" w:rsidR="00B1766A" w:rsidRDefault="001F47C8">
            <w:pPr>
              <w:pStyle w:val="PrimaryQuestionTableHeader"/>
            </w:pPr>
            <w:r>
              <w:t>Name</w:t>
            </w:r>
          </w:p>
        </w:tc>
      </w:tr>
      <w:tr w:rsidR="00B1766A" w14:paraId="3C037F68" w14:textId="77777777" w:rsidTr="009C7989">
        <w:tc>
          <w:tcPr>
            <w:tcW w:w="1223" w:type="pct"/>
          </w:tcPr>
          <w:p w14:paraId="3C037F65" w14:textId="77777777" w:rsidR="00B1766A" w:rsidRDefault="00B1766A"/>
        </w:tc>
        <w:tc>
          <w:tcPr>
            <w:tcW w:w="2866" w:type="pct"/>
          </w:tcPr>
          <w:p w14:paraId="3C037F66" w14:textId="77777777" w:rsidR="00B1766A" w:rsidRDefault="00B1766A"/>
        </w:tc>
        <w:tc>
          <w:tcPr>
            <w:tcW w:w="911" w:type="pct"/>
            <w:gridSpan w:val="2"/>
          </w:tcPr>
          <w:p w14:paraId="3C037F67" w14:textId="77777777" w:rsidR="00B1766A" w:rsidRDefault="00B1766A"/>
        </w:tc>
      </w:tr>
      <w:tr w:rsidR="00B1766A" w:rsidRPr="00422B02" w14:paraId="3C037F6A" w14:textId="77777777">
        <w:tc>
          <w:tcPr>
            <w:tcW w:w="5000" w:type="pct"/>
            <w:gridSpan w:val="4"/>
            <w:shd w:val="pct10" w:color="auto" w:fill="auto"/>
          </w:tcPr>
          <w:p w14:paraId="3C037F69" w14:textId="77777777" w:rsidR="00B1766A" w:rsidRPr="00B046ED" w:rsidRDefault="001F47C8">
            <w:pPr>
              <w:pStyle w:val="PrimaryQuestionTableHeader"/>
              <w:rPr>
                <w:lang w:val="en-US"/>
              </w:rPr>
            </w:pPr>
            <w:r w:rsidRPr="00B046ED">
              <w:rPr>
                <w:lang w:val="en-US"/>
              </w:rPr>
              <w:t>References (one row per reference)</w:t>
            </w:r>
          </w:p>
        </w:tc>
      </w:tr>
      <w:tr w:rsidR="00B1766A" w14:paraId="3C037F6F" w14:textId="77777777" w:rsidTr="009C7989">
        <w:tc>
          <w:tcPr>
            <w:tcW w:w="1223" w:type="pct"/>
            <w:shd w:val="pct10" w:color="auto" w:fill="auto"/>
          </w:tcPr>
          <w:p w14:paraId="3C037F6B" w14:textId="77777777" w:rsidR="00B1766A" w:rsidRDefault="001F47C8">
            <w:pPr>
              <w:pStyle w:val="PrimaryQuestionTableHeader"/>
            </w:pPr>
            <w:r>
              <w:t>Name</w:t>
            </w:r>
          </w:p>
        </w:tc>
        <w:tc>
          <w:tcPr>
            <w:tcW w:w="2866" w:type="pct"/>
            <w:shd w:val="pct10" w:color="auto" w:fill="auto"/>
          </w:tcPr>
          <w:p w14:paraId="3C037F6C" w14:textId="77777777" w:rsidR="00B1766A" w:rsidRDefault="001F47C8">
            <w:pPr>
              <w:pStyle w:val="PrimaryQuestionTableHeader"/>
            </w:pPr>
            <w:r>
              <w:t>Comments</w:t>
            </w:r>
          </w:p>
        </w:tc>
        <w:tc>
          <w:tcPr>
            <w:tcW w:w="301" w:type="pct"/>
            <w:shd w:val="pct10" w:color="auto" w:fill="auto"/>
          </w:tcPr>
          <w:p w14:paraId="3C037F6D" w14:textId="77777777" w:rsidR="00B1766A" w:rsidRDefault="001F47C8">
            <w:pPr>
              <w:pStyle w:val="PrimaryQuestionTableHeader"/>
            </w:pPr>
            <w:r>
              <w:t>Page</w:t>
            </w:r>
          </w:p>
        </w:tc>
        <w:tc>
          <w:tcPr>
            <w:tcW w:w="610" w:type="pct"/>
            <w:shd w:val="pct10" w:color="auto" w:fill="auto"/>
          </w:tcPr>
          <w:p w14:paraId="3C037F6E" w14:textId="77777777" w:rsidR="00B1766A" w:rsidRDefault="001F47C8">
            <w:pPr>
              <w:pStyle w:val="PrimaryQuestionTableHeader"/>
            </w:pPr>
            <w:r>
              <w:t>Para</w:t>
            </w:r>
          </w:p>
        </w:tc>
      </w:tr>
      <w:tr w:rsidR="00B1766A" w14:paraId="3C037F7C" w14:textId="77777777" w:rsidTr="009C7989">
        <w:tc>
          <w:tcPr>
            <w:tcW w:w="1223" w:type="pct"/>
          </w:tcPr>
          <w:p w14:paraId="3C037F73" w14:textId="2FFA5453" w:rsidR="001C36CC" w:rsidRPr="00B046ED" w:rsidRDefault="001F47C8">
            <w:pPr>
              <w:rPr>
                <w:lang w:val="en-US"/>
              </w:rPr>
            </w:pPr>
            <w:r w:rsidRPr="00B046ED">
              <w:rPr>
                <w:lang w:val="en-US"/>
              </w:rPr>
              <w:t>Safety Standards Series No. GSR Part 1 (Rev. 1)</w:t>
            </w:r>
          </w:p>
        </w:tc>
        <w:tc>
          <w:tcPr>
            <w:tcW w:w="2866" w:type="pct"/>
          </w:tcPr>
          <w:p w14:paraId="3C037F74" w14:textId="77777777" w:rsidR="00B1766A" w:rsidRPr="00B046ED" w:rsidRDefault="00B1766A">
            <w:pPr>
              <w:rPr>
                <w:lang w:val="en-US"/>
              </w:rPr>
            </w:pPr>
          </w:p>
        </w:tc>
        <w:tc>
          <w:tcPr>
            <w:tcW w:w="301" w:type="pct"/>
          </w:tcPr>
          <w:p w14:paraId="3C037F79" w14:textId="1D9C6C23" w:rsidR="001C36CC" w:rsidRPr="005F1192" w:rsidRDefault="0016728C" w:rsidP="004D0CEE">
            <w:pPr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610" w:type="pct"/>
          </w:tcPr>
          <w:p w14:paraId="3C037F7B" w14:textId="3CF473DD" w:rsidR="001C36CC" w:rsidRPr="00507A9D" w:rsidRDefault="001F47C8">
            <w:pPr>
              <w:rPr>
                <w:lang w:val="en-US"/>
              </w:rPr>
            </w:pPr>
            <w:r>
              <w:t>Requirement 30</w:t>
            </w:r>
            <w:r w:rsidR="00B05661">
              <w:rPr>
                <w:lang w:val="en-US"/>
              </w:rPr>
              <w:t xml:space="preserve">, </w:t>
            </w:r>
            <w:r>
              <w:t>31</w:t>
            </w:r>
          </w:p>
        </w:tc>
      </w:tr>
      <w:tr w:rsidR="00550061" w14:paraId="26B99F22" w14:textId="77777777" w:rsidTr="009C7989">
        <w:tc>
          <w:tcPr>
            <w:tcW w:w="1223" w:type="pct"/>
          </w:tcPr>
          <w:p w14:paraId="6650D928" w14:textId="1698D0E8" w:rsidR="00550061" w:rsidRPr="00B046ED" w:rsidRDefault="0016728C">
            <w:pPr>
              <w:rPr>
                <w:lang w:val="en-US"/>
              </w:rPr>
            </w:pPr>
            <w:r w:rsidRPr="00B046ED">
              <w:rPr>
                <w:lang w:val="en-US"/>
              </w:rPr>
              <w:t xml:space="preserve">Safety Standards Series No. </w:t>
            </w:r>
            <w:r w:rsidR="00550061">
              <w:rPr>
                <w:lang w:val="en-US"/>
              </w:rPr>
              <w:t>GSG-13</w:t>
            </w:r>
          </w:p>
        </w:tc>
        <w:tc>
          <w:tcPr>
            <w:tcW w:w="2866" w:type="pct"/>
          </w:tcPr>
          <w:p w14:paraId="46A7C98C" w14:textId="6C65E75B" w:rsidR="00550061" w:rsidRPr="00B046ED" w:rsidRDefault="00422B02">
            <w:pPr>
              <w:rPr>
                <w:lang w:val="en-US"/>
              </w:rPr>
            </w:pPr>
            <w:r w:rsidRPr="00422B02">
              <w:rPr>
                <w:lang w:val="en-US"/>
              </w:rPr>
              <w:t>Enforcement</w:t>
            </w:r>
          </w:p>
        </w:tc>
        <w:tc>
          <w:tcPr>
            <w:tcW w:w="301" w:type="pct"/>
          </w:tcPr>
          <w:p w14:paraId="2DEBCD90" w14:textId="14ED2DD2" w:rsidR="00550061" w:rsidRDefault="001B4BB6">
            <w:r>
              <w:rPr>
                <w:lang w:val="en-US"/>
              </w:rPr>
              <w:t>110</w:t>
            </w:r>
          </w:p>
        </w:tc>
        <w:tc>
          <w:tcPr>
            <w:tcW w:w="610" w:type="pct"/>
          </w:tcPr>
          <w:p w14:paraId="4A39CEA6" w14:textId="51EFFD66" w:rsidR="00550061" w:rsidRDefault="00550061">
            <w:r>
              <w:rPr>
                <w:lang w:val="en-US"/>
              </w:rPr>
              <w:t>3.295-3.319</w:t>
            </w:r>
          </w:p>
        </w:tc>
      </w:tr>
    </w:tbl>
    <w:p w14:paraId="3C037F7D" w14:textId="77777777" w:rsidR="00B1766A" w:rsidRDefault="00B1766A"/>
    <w:tbl>
      <w:tblPr>
        <w:tblW w:w="5000" w:type="pct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2"/>
        <w:gridCol w:w="4655"/>
        <w:gridCol w:w="869"/>
        <w:gridCol w:w="1054"/>
      </w:tblGrid>
      <w:tr w:rsidR="00B1766A" w14:paraId="3C037F82" w14:textId="77777777">
        <w:tc>
          <w:tcPr>
            <w:tcW w:w="1500" w:type="pct"/>
            <w:shd w:val="pct10" w:color="auto" w:fill="auto"/>
          </w:tcPr>
          <w:p w14:paraId="3C037F7E" w14:textId="77777777" w:rsidR="00B1766A" w:rsidRDefault="001F47C8">
            <w:pPr>
              <w:pStyle w:val="PrimaryQuestionTableHeader"/>
            </w:pPr>
            <w:r>
              <w:t>QTYPE</w:t>
            </w:r>
          </w:p>
        </w:tc>
        <w:tc>
          <w:tcPr>
            <w:tcW w:w="3000" w:type="pct"/>
            <w:shd w:val="pct10" w:color="auto" w:fill="auto"/>
          </w:tcPr>
          <w:p w14:paraId="3C037F7F" w14:textId="0987CFAA" w:rsidR="00B1766A" w:rsidRDefault="001F47C8" w:rsidP="009C7989">
            <w:pPr>
              <w:pStyle w:val="PrimaryQuestionTableHeader"/>
              <w:ind w:left="720"/>
              <w:jc w:val="left"/>
            </w:pPr>
            <w:r>
              <w:t>Subsidiary Question</w:t>
            </w:r>
          </w:p>
        </w:tc>
        <w:tc>
          <w:tcPr>
            <w:tcW w:w="500" w:type="pct"/>
            <w:shd w:val="pct10" w:color="auto" w:fill="auto"/>
          </w:tcPr>
          <w:p w14:paraId="3C037F80" w14:textId="77777777" w:rsidR="00B1766A" w:rsidRDefault="001F47C8">
            <w:pPr>
              <w:pStyle w:val="PrimaryQuestionTableHeader"/>
            </w:pPr>
            <w:r>
              <w:t>True/False</w:t>
            </w:r>
          </w:p>
        </w:tc>
        <w:tc>
          <w:tcPr>
            <w:tcW w:w="500" w:type="pct"/>
            <w:shd w:val="pct10" w:color="auto" w:fill="auto"/>
          </w:tcPr>
          <w:p w14:paraId="3C037F81" w14:textId="77777777" w:rsidR="00B1766A" w:rsidRDefault="001F47C8">
            <w:pPr>
              <w:pStyle w:val="PrimaryQuestionTableHeader"/>
            </w:pPr>
            <w:r>
              <w:t>Compulsory</w:t>
            </w:r>
          </w:p>
        </w:tc>
      </w:tr>
      <w:tr w:rsidR="00B1766A" w14:paraId="3C037F87" w14:textId="77777777">
        <w:tc>
          <w:tcPr>
            <w:tcW w:w="1000" w:type="pct"/>
          </w:tcPr>
          <w:p w14:paraId="3C037F83" w14:textId="77777777" w:rsidR="00B1766A" w:rsidRDefault="001F47C8">
            <w:pPr>
              <w:jc w:val="center"/>
            </w:pPr>
            <w:r>
              <w:t>T</w:t>
            </w:r>
          </w:p>
        </w:tc>
        <w:tc>
          <w:tcPr>
            <w:tcW w:w="3000" w:type="pct"/>
          </w:tcPr>
          <w:p w14:paraId="3C037F84" w14:textId="5FC185C4" w:rsidR="00B1766A" w:rsidRPr="00B046ED" w:rsidRDefault="003811A5" w:rsidP="007F78E2">
            <w:pPr>
              <w:rPr>
                <w:lang w:val="en-US"/>
              </w:rPr>
            </w:pPr>
            <w:r w:rsidRPr="00422B02">
              <w:rPr>
                <w:rStyle w:val="Question"/>
                <w:lang w:val="en-GB"/>
              </w:rPr>
              <w:t>What are the main enforcement</w:t>
            </w:r>
            <w:r w:rsidR="00422B02">
              <w:rPr>
                <w:rStyle w:val="Question"/>
                <w:lang w:val="en-GB"/>
              </w:rPr>
              <w:t xml:space="preserve"> actions taken</w:t>
            </w:r>
            <w:r w:rsidRPr="00422B02">
              <w:rPr>
                <w:rStyle w:val="Question"/>
                <w:lang w:val="en-GB"/>
              </w:rPr>
              <w:t xml:space="preserve"> by the </w:t>
            </w:r>
            <w:r w:rsidR="001F47C8" w:rsidRPr="00B046ED">
              <w:rPr>
                <w:rStyle w:val="Question"/>
                <w:lang w:val="en-US"/>
              </w:rPr>
              <w:t xml:space="preserve">regulatory body </w:t>
            </w:r>
            <w:r>
              <w:rPr>
                <w:rStyle w:val="Question"/>
                <w:lang w:val="en-US"/>
              </w:rPr>
              <w:t xml:space="preserve">to </w:t>
            </w:r>
            <w:r w:rsidR="001F47C8" w:rsidRPr="00B046ED">
              <w:rPr>
                <w:rStyle w:val="Question"/>
                <w:lang w:val="en-US"/>
              </w:rPr>
              <w:t>ensure that the response to non-</w:t>
            </w:r>
            <w:r w:rsidR="001F47C8" w:rsidRPr="00B046ED">
              <w:rPr>
                <w:rStyle w:val="Question"/>
                <w:lang w:val="en-US"/>
              </w:rPr>
              <w:lastRenderedPageBreak/>
              <w:t>compliances is commensurate with the significance of the safety of the non-compliance?</w:t>
            </w:r>
            <w:r w:rsidR="00E96AF9">
              <w:rPr>
                <w:rStyle w:val="Question"/>
                <w:lang w:val="en-US"/>
              </w:rPr>
              <w:t xml:space="preserve"> </w:t>
            </w:r>
            <w:r w:rsidR="00E96AF9">
              <w:rPr>
                <w:rStyle w:val="Question"/>
                <w:lang w:val="en-US"/>
              </w:rPr>
              <w:t>[Topic 8.</w:t>
            </w:r>
            <w:r w:rsidR="00E96AF9">
              <w:rPr>
                <w:rStyle w:val="Question"/>
                <w:lang w:val="en-US"/>
              </w:rPr>
              <w:t>2</w:t>
            </w:r>
            <w:r w:rsidR="00E96AF9">
              <w:rPr>
                <w:rStyle w:val="Question"/>
                <w:lang w:val="en-US"/>
              </w:rPr>
              <w:t>]</w:t>
            </w:r>
          </w:p>
        </w:tc>
        <w:tc>
          <w:tcPr>
            <w:tcW w:w="500" w:type="pct"/>
          </w:tcPr>
          <w:p w14:paraId="3C037F85" w14:textId="77777777" w:rsidR="00B1766A" w:rsidRDefault="001F47C8">
            <w:pPr>
              <w:jc w:val="center"/>
            </w:pPr>
            <w:r>
              <w:lastRenderedPageBreak/>
              <w:t>T</w:t>
            </w:r>
          </w:p>
        </w:tc>
        <w:tc>
          <w:tcPr>
            <w:tcW w:w="500" w:type="pct"/>
          </w:tcPr>
          <w:p w14:paraId="3C037F86" w14:textId="77777777" w:rsidR="00B1766A" w:rsidRDefault="001F47C8">
            <w:pPr>
              <w:jc w:val="center"/>
            </w:pPr>
            <w:r>
              <w:t>T</w:t>
            </w:r>
          </w:p>
        </w:tc>
      </w:tr>
      <w:tr w:rsidR="00B1766A" w14:paraId="3C037F8A" w14:textId="77777777">
        <w:tc>
          <w:tcPr>
            <w:tcW w:w="1000" w:type="pct"/>
            <w:shd w:val="pct10" w:color="auto" w:fill="auto"/>
          </w:tcPr>
          <w:p w14:paraId="3C037F88" w14:textId="77777777" w:rsidR="00B1766A" w:rsidRDefault="001F47C8">
            <w:r>
              <w:rPr>
                <w:b/>
              </w:rPr>
              <w:t>QData</w:t>
            </w:r>
          </w:p>
        </w:tc>
        <w:tc>
          <w:tcPr>
            <w:tcW w:w="4000" w:type="pct"/>
            <w:gridSpan w:val="3"/>
          </w:tcPr>
          <w:p w14:paraId="3C037F89" w14:textId="77777777" w:rsidR="00B1766A" w:rsidRDefault="00B1766A"/>
        </w:tc>
      </w:tr>
      <w:tr w:rsidR="00B1766A" w:rsidRPr="00422B02" w14:paraId="3C037F90" w14:textId="77777777">
        <w:tc>
          <w:tcPr>
            <w:tcW w:w="1000" w:type="pct"/>
            <w:shd w:val="pct10" w:color="auto" w:fill="auto"/>
          </w:tcPr>
          <w:p w14:paraId="3C037F8B" w14:textId="77777777" w:rsidR="00B1766A" w:rsidRDefault="001F47C8">
            <w:r>
              <w:rPr>
                <w:b/>
              </w:rPr>
              <w:t>Expectation</w:t>
            </w:r>
          </w:p>
        </w:tc>
        <w:tc>
          <w:tcPr>
            <w:tcW w:w="4000" w:type="pct"/>
            <w:gridSpan w:val="3"/>
          </w:tcPr>
          <w:p w14:paraId="3C037F8C" w14:textId="1128F209" w:rsidR="00B1766A" w:rsidRPr="00B046ED" w:rsidRDefault="00B05661">
            <w:pPr>
              <w:rPr>
                <w:lang w:val="en-US"/>
              </w:rPr>
            </w:pPr>
            <w:r>
              <w:rPr>
                <w:lang w:val="en-US"/>
              </w:rPr>
              <w:t xml:space="preserve">The different enforcement actions by the regulatory body are applied </w:t>
            </w:r>
            <w:r w:rsidR="001F47C8" w:rsidRPr="00B046ED">
              <w:rPr>
                <w:lang w:val="en-US"/>
              </w:rPr>
              <w:t>according to defined criteria</w:t>
            </w:r>
            <w:r>
              <w:rPr>
                <w:lang w:val="en-US"/>
              </w:rPr>
              <w:t xml:space="preserve"> to require corrective actions to be taken</w:t>
            </w:r>
            <w:r w:rsidR="001F47C8" w:rsidRPr="00B046ED">
              <w:rPr>
                <w:lang w:val="en-US"/>
              </w:rPr>
              <w:t>.</w:t>
            </w:r>
          </w:p>
          <w:p w14:paraId="3C037F8D" w14:textId="1EA80295" w:rsidR="003811A5" w:rsidRPr="00B046ED" w:rsidRDefault="003811A5" w:rsidP="003811A5">
            <w:pPr>
              <w:rPr>
                <w:lang w:val="en-US"/>
              </w:rPr>
            </w:pPr>
          </w:p>
          <w:p w14:paraId="2DFA30B7" w14:textId="2EB1893B" w:rsidR="00B1766A" w:rsidRDefault="003811A5">
            <w:pPr>
              <w:rPr>
                <w:lang w:val="en-US"/>
              </w:rPr>
            </w:pPr>
            <w:r>
              <w:rPr>
                <w:lang w:val="en-US"/>
              </w:rPr>
              <w:t xml:space="preserve">Each enforcement </w:t>
            </w:r>
            <w:r w:rsidR="00B05661">
              <w:rPr>
                <w:lang w:val="en-US"/>
              </w:rPr>
              <w:t xml:space="preserve">action </w:t>
            </w:r>
            <w:r w:rsidR="006D31D5">
              <w:rPr>
                <w:lang w:val="en-US"/>
              </w:rPr>
              <w:t>is</w:t>
            </w:r>
            <w:r w:rsidRPr="009254F9">
              <w:rPr>
                <w:lang w:val="en-US"/>
              </w:rPr>
              <w:t xml:space="preserve"> appropriate to the severity of the non-compliance with regulatory requirements or the violation of authorization conditions</w:t>
            </w:r>
            <w:r w:rsidR="006D31D5">
              <w:rPr>
                <w:lang w:val="en-US"/>
              </w:rPr>
              <w:t>.</w:t>
            </w:r>
          </w:p>
          <w:p w14:paraId="013032F6" w14:textId="6AD9F817" w:rsidR="00B05661" w:rsidRDefault="00B05661">
            <w:pPr>
              <w:rPr>
                <w:lang w:val="en-GB"/>
              </w:rPr>
            </w:pPr>
          </w:p>
          <w:p w14:paraId="470F8CBB" w14:textId="4656F330" w:rsidR="00B05661" w:rsidRDefault="00B05661">
            <w:pPr>
              <w:rPr>
                <w:lang w:val="en-GB"/>
              </w:rPr>
            </w:pPr>
            <w:r>
              <w:rPr>
                <w:lang w:val="en-GB"/>
              </w:rPr>
              <w:t>At each significant step in the enforcement process, the regulatory identifies and documents the nature of non-compliance and the period of time allowed for correcting them. The regulatory body communicates this information in writing to the authorized parties.</w:t>
            </w:r>
          </w:p>
          <w:p w14:paraId="43FEE8FB" w14:textId="77777777" w:rsidR="00B05661" w:rsidRDefault="00B05661">
            <w:pPr>
              <w:rPr>
                <w:lang w:val="en-GB"/>
              </w:rPr>
            </w:pPr>
          </w:p>
          <w:p w14:paraId="3C037F8F" w14:textId="0D834D11" w:rsidR="00B05661" w:rsidRPr="00B046ED" w:rsidRDefault="00B05661">
            <w:pPr>
              <w:rPr>
                <w:lang w:val="en-US"/>
              </w:rPr>
            </w:pPr>
            <w:r>
              <w:rPr>
                <w:lang w:val="en-GB"/>
              </w:rPr>
              <w:t>Answer should include description of any safety measures planned to improve compliance with IAEA safety requirements relevant to this area.</w:t>
            </w:r>
          </w:p>
        </w:tc>
      </w:tr>
      <w:tr w:rsidR="00B1766A" w:rsidRPr="00422B02" w14:paraId="3C037F9C" w14:textId="77777777">
        <w:tc>
          <w:tcPr>
            <w:tcW w:w="1000" w:type="pct"/>
            <w:shd w:val="pct10" w:color="auto" w:fill="auto"/>
          </w:tcPr>
          <w:p w14:paraId="3C037F91" w14:textId="77777777" w:rsidR="00B1766A" w:rsidRDefault="001F47C8">
            <w:r>
              <w:rPr>
                <w:b/>
              </w:rPr>
              <w:t>Help</w:t>
            </w:r>
          </w:p>
        </w:tc>
        <w:tc>
          <w:tcPr>
            <w:tcW w:w="4000" w:type="pct"/>
            <w:gridSpan w:val="3"/>
          </w:tcPr>
          <w:p w14:paraId="64286B87" w14:textId="461959F2" w:rsidR="00B05661" w:rsidRDefault="00B05661">
            <w:pPr>
              <w:rPr>
                <w:lang w:val="en-US"/>
              </w:rPr>
            </w:pPr>
            <w:r>
              <w:rPr>
                <w:lang w:val="en-US"/>
              </w:rPr>
              <w:t>Practical cases should be provided to illustrate the implementation of the enforcement process.</w:t>
            </w:r>
          </w:p>
          <w:p w14:paraId="310AFE13" w14:textId="77777777" w:rsidR="00B05661" w:rsidRDefault="00B05661">
            <w:pPr>
              <w:rPr>
                <w:lang w:val="en-US"/>
              </w:rPr>
            </w:pPr>
          </w:p>
          <w:p w14:paraId="45CF0C03" w14:textId="7DB20231" w:rsidR="00B05661" w:rsidRDefault="00B05661">
            <w:pPr>
              <w:rPr>
                <w:lang w:val="en-US"/>
              </w:rPr>
            </w:pPr>
            <w:r w:rsidRPr="00B046ED">
              <w:rPr>
                <w:lang w:val="en-US"/>
              </w:rPr>
              <w:t>Enforcement actions by the regulatory body may include recorded verbal notification, written notification, imposition of additional regulatory requirements and conditions, written warnings, penalties and, ultimately, revocation of the authorization.</w:t>
            </w:r>
          </w:p>
          <w:p w14:paraId="149B2DE6" w14:textId="77777777" w:rsidR="00B05661" w:rsidRDefault="00B05661">
            <w:pPr>
              <w:rPr>
                <w:lang w:val="en-US"/>
              </w:rPr>
            </w:pPr>
          </w:p>
          <w:p w14:paraId="3C037F92" w14:textId="27CAA297" w:rsidR="006D31D5" w:rsidRDefault="003811A5">
            <w:pPr>
              <w:rPr>
                <w:lang w:val="en-US"/>
              </w:rPr>
            </w:pPr>
            <w:r w:rsidRPr="009254F9">
              <w:rPr>
                <w:lang w:val="en-US"/>
              </w:rPr>
              <w:t xml:space="preserve">The factors to be </w:t>
            </w:r>
            <w:r w:rsidR="00B05661">
              <w:rPr>
                <w:lang w:val="en-US"/>
              </w:rPr>
              <w:t xml:space="preserve">considered </w:t>
            </w:r>
            <w:r w:rsidRPr="009254F9">
              <w:rPr>
                <w:lang w:val="en-US"/>
              </w:rPr>
              <w:t xml:space="preserve">in deciding </w:t>
            </w:r>
            <w:r w:rsidR="00B05661">
              <w:rPr>
                <w:lang w:val="en-US"/>
              </w:rPr>
              <w:t xml:space="preserve">the </w:t>
            </w:r>
            <w:r w:rsidRPr="009254F9">
              <w:rPr>
                <w:lang w:val="en-US"/>
              </w:rPr>
              <w:t>type of enforcement action include:</w:t>
            </w:r>
          </w:p>
          <w:p w14:paraId="3C037F93" w14:textId="23CC50A7" w:rsidR="006D31D5" w:rsidRDefault="003811A5">
            <w:pPr>
              <w:rPr>
                <w:lang w:val="en-US"/>
              </w:rPr>
            </w:pPr>
            <w:r w:rsidRPr="009254F9">
              <w:rPr>
                <w:lang w:val="en-US"/>
              </w:rPr>
              <w:t>(a) The safety significance of the non-compliance or of the violation and the complexity of the corrective action necessary;</w:t>
            </w:r>
          </w:p>
          <w:p w14:paraId="3C037F94" w14:textId="703EC951" w:rsidR="006D31D5" w:rsidRDefault="003811A5">
            <w:pPr>
              <w:rPr>
                <w:lang w:val="en-US"/>
              </w:rPr>
            </w:pPr>
            <w:r w:rsidRPr="009254F9">
              <w:rPr>
                <w:lang w:val="en-US"/>
              </w:rPr>
              <w:t>(b) Whether the non-compliance or violation is repeated;</w:t>
            </w:r>
          </w:p>
          <w:p w14:paraId="3C037F95" w14:textId="33BE2089" w:rsidR="006D31D5" w:rsidRDefault="003811A5">
            <w:pPr>
              <w:rPr>
                <w:lang w:val="en-US"/>
              </w:rPr>
            </w:pPr>
            <w:r w:rsidRPr="0093275C">
              <w:rPr>
                <w:lang w:val="en-US"/>
              </w:rPr>
              <w:t>(c) Whether there has been a willful violation or a willful non-compliance;</w:t>
            </w:r>
          </w:p>
          <w:p w14:paraId="3C037F96" w14:textId="1FF30834" w:rsidR="006D31D5" w:rsidRDefault="003811A5">
            <w:pPr>
              <w:rPr>
                <w:lang w:val="en-US"/>
              </w:rPr>
            </w:pPr>
            <w:r w:rsidRPr="0093275C">
              <w:rPr>
                <w:lang w:val="en-US"/>
              </w:rPr>
              <w:t>(d) Whether or not the authorized party identified and/or reported the non-compliance or the violation;</w:t>
            </w:r>
          </w:p>
          <w:p w14:paraId="3C037F97" w14:textId="498E83F6" w:rsidR="006D31D5" w:rsidRDefault="003811A5">
            <w:pPr>
              <w:rPr>
                <w:lang w:val="en-US"/>
              </w:rPr>
            </w:pPr>
            <w:r w:rsidRPr="0093275C">
              <w:rPr>
                <w:lang w:val="en-US"/>
              </w:rPr>
              <w:t>(e) Whether the non-compliance or violation impacted the ability of the regulatory body to perform its regulatory oversight function;</w:t>
            </w:r>
          </w:p>
          <w:p w14:paraId="3C037F98" w14:textId="7B6962BC" w:rsidR="006D31D5" w:rsidRDefault="003811A5">
            <w:pPr>
              <w:rPr>
                <w:lang w:val="en-US"/>
              </w:rPr>
            </w:pPr>
            <w:r w:rsidRPr="0093275C">
              <w:rPr>
                <w:lang w:val="en-US"/>
              </w:rPr>
              <w:t>(f) The past safety performance of the authorized party and the performance trend;</w:t>
            </w:r>
          </w:p>
          <w:p w14:paraId="3C037F9B" w14:textId="6DDF87E9" w:rsidR="00B1766A" w:rsidRPr="00B046ED" w:rsidRDefault="003811A5">
            <w:pPr>
              <w:rPr>
                <w:lang w:val="en-US"/>
              </w:rPr>
            </w:pPr>
            <w:r w:rsidRPr="0093275C">
              <w:rPr>
                <w:lang w:val="en-US"/>
              </w:rPr>
              <w:t>(g) The need for consistency and openness in the treatment of authorized parties</w:t>
            </w:r>
            <w:r w:rsidR="006D31D5">
              <w:rPr>
                <w:lang w:val="en-US"/>
              </w:rPr>
              <w:t>.</w:t>
            </w:r>
          </w:p>
        </w:tc>
      </w:tr>
      <w:tr w:rsidR="00B1766A" w:rsidRPr="00422B02" w14:paraId="3C037F9E" w14:textId="77777777">
        <w:tc>
          <w:tcPr>
            <w:tcW w:w="5000" w:type="pct"/>
            <w:gridSpan w:val="4"/>
            <w:shd w:val="pct10" w:color="auto" w:fill="auto"/>
          </w:tcPr>
          <w:p w14:paraId="3C037F9D" w14:textId="77777777" w:rsidR="00B1766A" w:rsidRPr="00B046ED" w:rsidRDefault="001F47C8">
            <w:pPr>
              <w:pStyle w:val="PrimaryQuestionTableHeader"/>
              <w:rPr>
                <w:lang w:val="en-US"/>
              </w:rPr>
            </w:pPr>
            <w:r w:rsidRPr="00B046ED">
              <w:rPr>
                <w:lang w:val="en-US"/>
              </w:rPr>
              <w:t>References (one row per reference)</w:t>
            </w:r>
          </w:p>
        </w:tc>
      </w:tr>
      <w:tr w:rsidR="00B1766A" w14:paraId="3C037FA3" w14:textId="77777777">
        <w:tc>
          <w:tcPr>
            <w:tcW w:w="1000" w:type="pct"/>
            <w:shd w:val="pct10" w:color="auto" w:fill="auto"/>
          </w:tcPr>
          <w:p w14:paraId="3C037F9F" w14:textId="77777777" w:rsidR="00B1766A" w:rsidRDefault="001F47C8">
            <w:pPr>
              <w:pStyle w:val="PrimaryQuestionTableHeader"/>
            </w:pPr>
            <w:r>
              <w:t>Name</w:t>
            </w:r>
          </w:p>
        </w:tc>
        <w:tc>
          <w:tcPr>
            <w:tcW w:w="3000" w:type="pct"/>
            <w:shd w:val="pct10" w:color="auto" w:fill="auto"/>
          </w:tcPr>
          <w:p w14:paraId="3C037FA0" w14:textId="77777777" w:rsidR="00B1766A" w:rsidRDefault="001F47C8">
            <w:pPr>
              <w:pStyle w:val="PrimaryQuestionTableHeader"/>
            </w:pPr>
            <w:r>
              <w:t>Comments</w:t>
            </w:r>
          </w:p>
        </w:tc>
        <w:tc>
          <w:tcPr>
            <w:tcW w:w="500" w:type="pct"/>
            <w:shd w:val="pct10" w:color="auto" w:fill="auto"/>
          </w:tcPr>
          <w:p w14:paraId="3C037FA1" w14:textId="77777777" w:rsidR="00B1766A" w:rsidRDefault="001F47C8">
            <w:pPr>
              <w:pStyle w:val="PrimaryQuestionTableHeader"/>
            </w:pPr>
            <w:r>
              <w:t>Page</w:t>
            </w:r>
          </w:p>
        </w:tc>
        <w:tc>
          <w:tcPr>
            <w:tcW w:w="500" w:type="pct"/>
            <w:shd w:val="pct10" w:color="auto" w:fill="auto"/>
          </w:tcPr>
          <w:p w14:paraId="3C037FA2" w14:textId="77777777" w:rsidR="00B1766A" w:rsidRDefault="001F47C8">
            <w:pPr>
              <w:pStyle w:val="PrimaryQuestionTableHeader"/>
            </w:pPr>
            <w:r>
              <w:t>Para</w:t>
            </w:r>
          </w:p>
        </w:tc>
      </w:tr>
      <w:tr w:rsidR="00B1766A" w14:paraId="3C037FAF" w14:textId="77777777">
        <w:tc>
          <w:tcPr>
            <w:tcW w:w="1000" w:type="pct"/>
          </w:tcPr>
          <w:p w14:paraId="3C037FA7" w14:textId="6BEA5BBF" w:rsidR="001C36CC" w:rsidRPr="00B046ED" w:rsidRDefault="001F47C8" w:rsidP="00B05661">
            <w:pPr>
              <w:rPr>
                <w:lang w:val="en-US"/>
              </w:rPr>
            </w:pPr>
            <w:r w:rsidRPr="00B046ED">
              <w:rPr>
                <w:lang w:val="en-US"/>
              </w:rPr>
              <w:t>Safety Standards Series No. GSR Part 1 (Rev. 1)</w:t>
            </w:r>
          </w:p>
        </w:tc>
        <w:tc>
          <w:tcPr>
            <w:tcW w:w="3000" w:type="pct"/>
          </w:tcPr>
          <w:p w14:paraId="3C037FA8" w14:textId="77777777" w:rsidR="00B1766A" w:rsidRPr="00B046ED" w:rsidRDefault="00B1766A">
            <w:pPr>
              <w:rPr>
                <w:lang w:val="en-US"/>
              </w:rPr>
            </w:pPr>
          </w:p>
        </w:tc>
        <w:tc>
          <w:tcPr>
            <w:tcW w:w="500" w:type="pct"/>
          </w:tcPr>
          <w:p w14:paraId="3C037FAC" w14:textId="790886DB" w:rsidR="001C36CC" w:rsidRPr="00B05661" w:rsidRDefault="001B4BB6" w:rsidP="00B05661">
            <w:pPr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500" w:type="pct"/>
          </w:tcPr>
          <w:p w14:paraId="3C037FAE" w14:textId="35A5BD68" w:rsidR="0029159B" w:rsidRPr="0029159B" w:rsidRDefault="001F47C8" w:rsidP="00B05661">
            <w:pPr>
              <w:rPr>
                <w:lang w:val="en-US"/>
              </w:rPr>
            </w:pPr>
            <w:r>
              <w:t>Requirement 3</w:t>
            </w:r>
            <w:r w:rsidR="00B05661">
              <w:rPr>
                <w:lang w:val="en-US"/>
              </w:rPr>
              <w:t>0</w:t>
            </w:r>
          </w:p>
        </w:tc>
      </w:tr>
      <w:tr w:rsidR="0093275C" w14:paraId="4F0104BD" w14:textId="77777777">
        <w:tc>
          <w:tcPr>
            <w:tcW w:w="1000" w:type="pct"/>
          </w:tcPr>
          <w:p w14:paraId="477E010B" w14:textId="2B73BDBB" w:rsidR="0093275C" w:rsidRPr="00B046ED" w:rsidRDefault="001B4BB6">
            <w:pPr>
              <w:rPr>
                <w:lang w:val="en-US"/>
              </w:rPr>
            </w:pPr>
            <w:r w:rsidRPr="00B046ED">
              <w:rPr>
                <w:lang w:val="en-US"/>
              </w:rPr>
              <w:t>Safety Standards Series No.</w:t>
            </w:r>
            <w:r>
              <w:rPr>
                <w:lang w:val="en-US"/>
              </w:rPr>
              <w:t xml:space="preserve"> </w:t>
            </w:r>
            <w:r w:rsidR="0093275C">
              <w:rPr>
                <w:lang w:val="en-US"/>
              </w:rPr>
              <w:t>GSG-13</w:t>
            </w:r>
          </w:p>
        </w:tc>
        <w:tc>
          <w:tcPr>
            <w:tcW w:w="3000" w:type="pct"/>
          </w:tcPr>
          <w:p w14:paraId="47FAD44B" w14:textId="1EF97CD2" w:rsidR="0093275C" w:rsidRPr="00B046ED" w:rsidRDefault="00422B02">
            <w:pPr>
              <w:rPr>
                <w:lang w:val="en-US"/>
              </w:rPr>
            </w:pPr>
            <w:r w:rsidRPr="00422B02">
              <w:rPr>
                <w:lang w:val="en-US"/>
              </w:rPr>
              <w:t>Enforcement</w:t>
            </w:r>
          </w:p>
        </w:tc>
        <w:tc>
          <w:tcPr>
            <w:tcW w:w="500" w:type="pct"/>
          </w:tcPr>
          <w:p w14:paraId="7CAF1E27" w14:textId="3CDA95AE" w:rsidR="0093275C" w:rsidRDefault="0093275C">
            <w:r>
              <w:rPr>
                <w:lang w:val="en-US"/>
              </w:rPr>
              <w:t>110</w:t>
            </w:r>
          </w:p>
        </w:tc>
        <w:tc>
          <w:tcPr>
            <w:tcW w:w="500" w:type="pct"/>
          </w:tcPr>
          <w:p w14:paraId="6524C75C" w14:textId="6E4342ED" w:rsidR="0093275C" w:rsidRDefault="0093275C">
            <w:r>
              <w:rPr>
                <w:lang w:val="en-US"/>
              </w:rPr>
              <w:t>3.295-3.319</w:t>
            </w:r>
          </w:p>
        </w:tc>
      </w:tr>
    </w:tbl>
    <w:p w14:paraId="3C037FD1" w14:textId="77777777" w:rsidR="00B1766A" w:rsidRDefault="00B1766A" w:rsidP="009C7989"/>
    <w:sectPr w:rsidR="00B1766A" w:rsidSect="00B05661">
      <w:pgSz w:w="12240" w:h="15840"/>
      <w:pgMar w:top="993" w:right="1800" w:bottom="1134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634D7"/>
    <w:multiLevelType w:val="hybridMultilevel"/>
    <w:tmpl w:val="04C089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64313"/>
    <w:multiLevelType w:val="hybridMultilevel"/>
    <w:tmpl w:val="2014FA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F225D"/>
    <w:multiLevelType w:val="hybridMultilevel"/>
    <w:tmpl w:val="4886A1EA"/>
    <w:lvl w:ilvl="0" w:tplc="DDAE016E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9236467">
    <w:abstractNumId w:val="2"/>
  </w:num>
  <w:num w:numId="2" w16cid:durableId="1024096848">
    <w:abstractNumId w:val="1"/>
  </w:num>
  <w:num w:numId="3" w16cid:durableId="1955669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66A"/>
    <w:rsid w:val="00012863"/>
    <w:rsid w:val="00090ECD"/>
    <w:rsid w:val="000B2EF5"/>
    <w:rsid w:val="000E46CE"/>
    <w:rsid w:val="00145F2F"/>
    <w:rsid w:val="0016728C"/>
    <w:rsid w:val="001A3EDF"/>
    <w:rsid w:val="001A5293"/>
    <w:rsid w:val="001B4BB6"/>
    <w:rsid w:val="001C36CC"/>
    <w:rsid w:val="001F47C8"/>
    <w:rsid w:val="0029159B"/>
    <w:rsid w:val="002A12A5"/>
    <w:rsid w:val="00335C22"/>
    <w:rsid w:val="00344D24"/>
    <w:rsid w:val="00355E01"/>
    <w:rsid w:val="003811A5"/>
    <w:rsid w:val="003E4242"/>
    <w:rsid w:val="00422B02"/>
    <w:rsid w:val="004D0CEE"/>
    <w:rsid w:val="004E7E07"/>
    <w:rsid w:val="00507A9D"/>
    <w:rsid w:val="00550061"/>
    <w:rsid w:val="005A338E"/>
    <w:rsid w:val="005B379C"/>
    <w:rsid w:val="005F1192"/>
    <w:rsid w:val="006B7D90"/>
    <w:rsid w:val="006D31D5"/>
    <w:rsid w:val="006D4C98"/>
    <w:rsid w:val="007F78E2"/>
    <w:rsid w:val="0089346B"/>
    <w:rsid w:val="009254F9"/>
    <w:rsid w:val="0093275C"/>
    <w:rsid w:val="009C7989"/>
    <w:rsid w:val="00A64D2F"/>
    <w:rsid w:val="00AC231A"/>
    <w:rsid w:val="00AD00C1"/>
    <w:rsid w:val="00B046ED"/>
    <w:rsid w:val="00B05661"/>
    <w:rsid w:val="00B1766A"/>
    <w:rsid w:val="00BB098A"/>
    <w:rsid w:val="00BB7E74"/>
    <w:rsid w:val="00CF7853"/>
    <w:rsid w:val="00DD2A20"/>
    <w:rsid w:val="00E45C09"/>
    <w:rsid w:val="00E562D6"/>
    <w:rsid w:val="00E96AF9"/>
    <w:rsid w:val="00F96114"/>
    <w:rsid w:val="00FD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37F15"/>
  <w15:docId w15:val="{369B693D-EB64-419A-B6BB-7AD818C0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naireHeader">
    <w:name w:val="Questionnaire Header"/>
    <w:uiPriority w:val="9"/>
    <w:qFormat/>
    <w:pPr>
      <w:spacing w:before="110" w:after="11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oduleHeader">
    <w:name w:val="Module Header"/>
    <w:uiPriority w:val="9"/>
    <w:qFormat/>
    <w:pPr>
      <w:spacing w:before="110" w:after="11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PrimaryQuestionTableHeader">
    <w:name w:val="Primary Question Table Header"/>
    <w:uiPriority w:val="9"/>
    <w:qFormat/>
    <w:pPr>
      <w:spacing w:before="20" w:after="20"/>
      <w:jc w:val="center"/>
    </w:pPr>
    <w:rPr>
      <w:rFonts w:asciiTheme="majorHAnsi" w:eastAsiaTheme="majorEastAsia" w:hAnsiTheme="majorHAnsi" w:cstheme="majorBidi"/>
      <w:b/>
      <w:bCs/>
    </w:rPr>
  </w:style>
  <w:style w:type="paragraph" w:customStyle="1" w:styleId="SubsidiaryQuestionTableHeader">
    <w:name w:val="Subsidiary Question Table Header"/>
    <w:uiPriority w:val="9"/>
    <w:qFormat/>
    <w:pPr>
      <w:spacing w:before="20" w:after="20"/>
      <w:jc w:val="center"/>
    </w:pPr>
    <w:rPr>
      <w:rFonts w:asciiTheme="majorHAnsi" w:eastAsiaTheme="majorEastAsia" w:hAnsiTheme="majorHAnsi" w:cstheme="majorBidi"/>
      <w:b/>
      <w:bCs/>
      <w:sz w:val="18"/>
      <w:szCs w:val="18"/>
    </w:rPr>
  </w:style>
  <w:style w:type="character" w:customStyle="1" w:styleId="Question">
    <w:name w:val="Question"/>
    <w:rPr>
      <w:color w:val="000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61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11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C36CC"/>
    <w:pPr>
      <w:ind w:left="720"/>
      <w:contextualSpacing/>
    </w:pPr>
  </w:style>
  <w:style w:type="paragraph" w:styleId="Revision">
    <w:name w:val="Revision"/>
    <w:hidden/>
    <w:uiPriority w:val="99"/>
    <w:semiHidden/>
    <w:rsid w:val="005A3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3C8F649BA31B4F9F3B627B8D4BFD74" ma:contentTypeVersion="0" ma:contentTypeDescription="Create a new document." ma:contentTypeScope="" ma:versionID="14baa4aba5b2b6274fd4ef593d26ae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1618be233d3e29b182ccd59efb176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52CE45-ED62-463B-B804-483CCBFC1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2D9005-D817-428E-9CAE-A415DEEFDA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9D9642-003F-4664-B231-30DB819EDE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8A9F4C-74D7-4809-91E7-D851677E9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HAILU, Teodros Gebremichael</cp:lastModifiedBy>
  <cp:revision>11</cp:revision>
  <dcterms:created xsi:type="dcterms:W3CDTF">2023-11-30T15:22:00Z</dcterms:created>
  <dcterms:modified xsi:type="dcterms:W3CDTF">2024-08-13T13:49:00Z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0x010100863C8F649BA31B4F9F3B627B8D4BFD74</vt:lpwstr>
  </property>
</Properties>
</file>